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54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Ханты-Мансийского автономного округа – Югры Король Е.П., находящегося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Ковальчук Игоря Евгеньевича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об административном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онарушении, предусмотренном ч.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ahoma" w:eastAsia="Tahoma" w:hAnsi="Tahoma" w:cs="Tahoma"/>
          <w:sz w:val="23"/>
          <w:szCs w:val="23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05.12.2025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1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г. Сургуте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Style w:val="cat-UserDefinedgrp-2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Ковальчук И.Е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п. 2 ОПД ПДД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Style w:val="cat-UserDefinedgrp-2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2rplc-21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установленного на предусмотренном для этого месте переднего государственного регистрационного знака,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находился под ветровым стеклом. Данное обстоятельство послужило основанием для составления в отношении него 05.12.2025 года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>№ 706287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по ч. 2 ст. 12.2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(п. 6 постановления Пленума ВС РФ от 24.03.2005 г. № 5), не присутствовал, ходатайств об отложении судебного заседания не заявлял. При таких обстоятельствах и на основании ч. 2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 КоАП РФ административным правонарушением признается у</w:t>
      </w:r>
      <w:r>
        <w:rPr>
          <w:rFonts w:ascii="Times New Roman" w:eastAsia="Times New Roman" w:hAnsi="Times New Roman" w:cs="Times New Roman"/>
          <w:sz w:val="28"/>
          <w:szCs w:val="28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2.3.1. Правил дорожного движения РФ, утвержденных постановлением Совета Министров-Правительства РФ от 23.10.1993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допуску транспортных средств к эксплуатации и обязанностями должностных лиц по обеспечению безопасности дорожного </w:t>
      </w:r>
      <w:r>
        <w:rPr>
          <w:rFonts w:ascii="Times New Roman" w:eastAsia="Times New Roman" w:hAnsi="Times New Roman" w:cs="Times New Roman"/>
          <w:sz w:val="28"/>
          <w:szCs w:val="28"/>
        </w:rPr>
        <w:t>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запрещается эксплуатация: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(согласно </w:t>
      </w:r>
      <w:hyperlink w:anchor="sub_21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приложению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</w:t>
      </w:r>
      <w:r>
        <w:rPr>
          <w:rFonts w:ascii="Times New Roman" w:eastAsia="Times New Roman" w:hAnsi="Times New Roman" w:cs="Times New Roman"/>
          <w:sz w:val="28"/>
          <w:szCs w:val="28"/>
        </w:rPr>
        <w:t>а механических транспортных средствах и прицепах должны быть установлены на предусмотренных для этого местах регистрационные знаки соответствующего образца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овальчук И.Е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инкриминируемого административного правонарушения объективно подтверждается следующими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№ </w:t>
      </w:r>
      <w:r>
        <w:rPr>
          <w:rFonts w:ascii="Times New Roman" w:eastAsia="Times New Roman" w:hAnsi="Times New Roman" w:cs="Times New Roman"/>
          <w:sz w:val="28"/>
          <w:szCs w:val="28"/>
        </w:rPr>
        <w:t>706287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05.12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операции с ВУ;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ТС;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ИДПС ОБДПС ГАИ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05.12.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>фотоматериалом.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перечисленные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оценены суд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правилами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26.11 КоАП РФ и признаются допустимыми, достоверными и достаточными для вывода о наличии в действиях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Ковальчук И.Е.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Ковальчук И.Е. 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 12.2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последний управлял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переднего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регистрационного знака.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административную ответственность обстоятельств по делу судом не установлено. Обстоятельством, отягчающим административную ответственность, суд признает повторное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>Ковальчук И.Е.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 в течении 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3.1 КоАП РФ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обсуждении вопроса о назначении вида и размера наказания, мировой 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4.1 КоАП РФ, учитывает характер совершенного административного правонарушения, 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Ковальчук И.Е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принимая во внимание обстоятельства совершения виновным лицом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предусмотренном санкцией ч. 2 ст. 12.2 КоАП РФ размере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данный вид наказания является справедливым и соразмерным содеянному.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4" w:anchor="/document/12125267/entry/29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anchor="/document/12125267/entry/29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Ковальчук Игоря Евгеньевича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hyperlink r:id="rId4" w:anchor="/document/12125267/entry/122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 ст. 12.2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назначить ему административное наказание в виде административного штрафа в размере </w:t>
      </w:r>
      <w:r>
        <w:rPr>
          <w:rStyle w:val="cat-Sumgrp-19rplc-3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по реквизитам: согласно извещению (форма № ПД-4) приложение к постановлению.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1 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1.1, 1.3 -1.3-3 и 1.4 КоАП РФ,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административного штрафа в установленный законом срок влечет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по ч. 1 ст. 20.25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sectPr>
      <w:headerReference w:type="default" r:id="rId6"/>
      <w:foot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45278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Timegrp-21rplc-14">
    <w:name w:val="cat-Time grp-21 rplc-14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19">
    <w:name w:val="cat-UserDefined grp-26 rplc-19"/>
    <w:basedOn w:val="DefaultParagraphFont"/>
  </w:style>
  <w:style w:type="character" w:customStyle="1" w:styleId="cat-CarNumbergrp-22rplc-21">
    <w:name w:val="cat-CarNumber grp-22 rplc-21"/>
    <w:basedOn w:val="DefaultParagraphFont"/>
  </w:style>
  <w:style w:type="character" w:customStyle="1" w:styleId="cat-Sumgrp-19rplc-37">
    <w:name w:val="cat-Sum grp-19 rplc-3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F57FE-6933-4393-9642-AD2E849658C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